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február 15.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Drexler Dániel (Óbudai Egyetem)</w:t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 rák megszelídítése irányításelméleti módszerekkel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február 22.</w:t>
      </w:r>
    </w:p>
    <w:p w:rsidR="002F0FB7" w:rsidRPr="00F335A3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Tóth János: 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Oszcilláció két anyagfajtát tartalmazó reakciókban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(Történeti áttekintés és előkészítés)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március 1.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</w:pPr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Nagy Ilona: 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Két határciklus létezésének egzakt bizonyítása </w:t>
      </w: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 két anyagfajtát tartalmazó rendszerben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(Előkészületben lévő cikk eredményeinek és módszereinek ismertetése)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március 22.</w:t>
      </w:r>
    </w:p>
    <w:p w:rsidR="002F0FB7" w:rsidRPr="00F335A3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Gábor Szederkényi</w:t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Computation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structures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given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properties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F335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Abstract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form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general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class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nonlinear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suitable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describe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complex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nonlinear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phenomena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bio</w:t>
      </w:r>
      <w:proofErr w:type="spellEnd"/>
      <w:proofErr w:type="gram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proofErr w:type="gram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processes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but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other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fields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well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where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state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variables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constrained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nonnegative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[1].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given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form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weighted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directed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graph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(i.e.,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can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assigned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which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Necessary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sufficient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conditions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polynomial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ODE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given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[2]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known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graph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corresponding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given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non-unique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However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theory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strong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results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have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been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developed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relations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between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structure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properties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stability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existence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uniqueness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equilibria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boundedness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etc.)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Therefore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of interest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if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exist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such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structures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parametrizations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set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guarantee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desired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lecture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summary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computational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methods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presented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based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[3-6]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can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used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existence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graphs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preferred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properties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such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zero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deficiency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complex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detailed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balance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weak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reversibility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F335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References</w:t>
      </w:r>
      <w:proofErr w:type="spellEnd"/>
      <w:r w:rsidRPr="00F335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[1] P Érdi, J Tóth.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Mathematical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Theory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applications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deterministic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stochastic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Manchester University Press, Princeton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Press, 1989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[2] Hárs, V.; Tóth, J</w:t>
      </w:r>
      <w:proofErr w:type="gram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.:</w:t>
      </w:r>
      <w:proofErr w:type="gram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inverse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problem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Colloquia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Mathematica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Societatis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János Bolyai, (Szeged, Hungary, 1979)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Qualitative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Theory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Differential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Equations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(M. Farkas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.), 30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North-Holland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János Bolyai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Mathematical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Society, Budapest, 1981, pp. 363-379.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http://www.math.bme.hu/~jtoth/pubtexts/SzegedInverse.pdf</w:t>
        </w:r>
      </w:hyperlink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[3] Szederkényi G, Hangos K M.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Finding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complex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balanced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detailed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balanced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JOURNAL OF MATHEMATICAL CHEMISTRY 49: pp. </w:t>
      </w:r>
      <w:hyperlink r:id="rId6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1163-1179</w:t>
        </w:r>
      </w:hyperlink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(2011)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hyperlink r:id="rId7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http://dx.doi.org/10.1007/s10910-011-9804-9</w:t>
        </w:r>
      </w:hyperlink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[4]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Johnston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 </w:t>
      </w:r>
      <w:proofErr w:type="gram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 ,</w:t>
      </w:r>
      <w:proofErr w:type="gram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Siegel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D, Szederkényi G.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weakly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reversible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linearly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conjugate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reaction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networks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deficiency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MATHEMATICAL BIOSCIENCES 241:(1) pp. 88-98. (2013)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hyperlink r:id="rId8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http://dx.doi.org/10.1016/j.mbs.2012.09.008</w:t>
        </w:r>
      </w:hyperlink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[5] Lipták G, Szederkényi G, Hangos KM.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zero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deficiency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SYSTEMS &amp; CONTROL LETTERS 81: pp. 24-30. (2015)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hyperlink r:id="rId9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http://dx.doi.org/10.1016/j.sysconle.2015.05.001</w:t>
        </w:r>
      </w:hyperlink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[6] Ács B, Szederkényi G, Tuza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Zs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Tuza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Computing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all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possible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graph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structures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describing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linearly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conjugate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 COMPUTER PHYSICS COMMUNICATIONS 204: pp. 11-20. (2016)</w:t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hyperlink r:id="rId10" w:tgtFrame="_blank" w:history="1">
        <w:r w:rsidRPr="00F335A3">
          <w:rPr>
            <w:rStyle w:val="Hiperhivatkozs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http://dx.doi.org/10.1016/j.cpc.2016.02.020</w:t>
        </w:r>
      </w:hyperlink>
      <w:r w:rsidRPr="00F335A3">
        <w:rPr>
          <w:rFonts w:ascii="Arial" w:hAnsi="Arial" w:cs="Arial"/>
          <w:color w:val="000000"/>
          <w:sz w:val="20"/>
          <w:szCs w:val="20"/>
        </w:rPr>
        <w:t> </w:t>
      </w:r>
    </w:p>
    <w:p w:rsidR="002F0FB7" w:rsidRPr="002F0FB7" w:rsidRDefault="002F0FB7" w:rsidP="002F0F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március 29.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hu-HU"/>
        </w:rPr>
        <w:t>Balázs Boros:</w:t>
      </w:r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 xml:space="preserve"> The center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problem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for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planar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S-systems</w:t>
      </w:r>
      <w:proofErr w:type="spellEnd"/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spellStart"/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hu-HU"/>
        </w:rPr>
        <w:t>Abstract</w:t>
      </w:r>
      <w:proofErr w:type="spellEnd"/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hu-HU"/>
        </w:rPr>
        <w:t>:</w:t>
      </w:r>
      <w:r w:rsidRPr="002F0F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hu-HU"/>
        </w:rPr>
        <w:t> 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S-systems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are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simple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examples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of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power-law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dynamical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systems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(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polynomial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systems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with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real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exponents</w:t>
      </w:r>
      <w:proofErr w:type="spellEnd"/>
      <w:r w:rsidRPr="002F0FB7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).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describe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when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exactly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unique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positive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equilibrium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a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planar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S-system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a local/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global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center.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Further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construct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two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limit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cycles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spellStart"/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Reference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: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Section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3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hyperlink r:id="rId11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https://arxiv.org/pdf/1707.02104.pdf</w:t>
        </w:r>
      </w:hyperlink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2F0FB7" w:rsidRPr="00F335A3" w:rsidRDefault="002F0FB7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proofErr w:type="spellStart"/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Keywords</w:t>
      </w:r>
      <w:proofErr w:type="spellEnd"/>
      <w:r w:rsidRPr="002F0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:</w:t>
      </w: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power-law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system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first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integral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reversible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system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Erste/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Zweite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Strudelgröße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Andronov-Hopf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bifurcation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Bautin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bifurcation</w:t>
      </w:r>
      <w:proofErr w:type="spellEnd"/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2F0FB7" w:rsidRPr="00F335A3" w:rsidRDefault="002F0FB7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szeptember 18.</w:t>
      </w: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Report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some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lectures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of)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conferences</w:t>
      </w:r>
      <w:proofErr w:type="spellEnd"/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2F0FB7" w:rsidRPr="00F335A3" w:rsidRDefault="002F0FB7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Boros Balázs: SIAM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Coference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Life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Sciences</w:t>
      </w:r>
      <w:proofErr w:type="spellEnd"/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hyperlink r:id="rId12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https://www.siam.org/Conferences/CM/Main/ls18</w:t>
        </w:r>
      </w:hyperlink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Tóth János: Eu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ropean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Conference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Mathematic</w:t>
      </w: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oretical</w:t>
      </w:r>
      <w:proofErr w:type="spellEnd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2F0FB7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Biology</w:t>
      </w:r>
      <w:proofErr w:type="spellEnd"/>
    </w:p>
    <w:p w:rsidR="002F0FB7" w:rsidRPr="002F0FB7" w:rsidRDefault="002F0FB7" w:rsidP="002F0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hyperlink r:id="rId13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http://www.ecmtb2018.org/</w:t>
        </w:r>
      </w:hyperlink>
    </w:p>
    <w:p w:rsidR="002F0FB7" w:rsidRPr="00F335A3" w:rsidRDefault="002F0FB7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2F0FB7" w:rsidRPr="00F335A3" w:rsidRDefault="002F0FB7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2018. szeptember 25.</w:t>
      </w:r>
    </w:p>
    <w:p w:rsidR="00FD57CE" w:rsidRPr="00F335A3" w:rsidRDefault="002F0FB7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</w:t>
      </w:r>
      <w:r w:rsidR="00FD57CE"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Szederkényi Gábor:</w:t>
      </w:r>
    </w:p>
    <w:p w:rsidR="00FD57CE" w:rsidRPr="00F335A3" w:rsidRDefault="00FD57CE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Approximating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domain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attraction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uncertain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nonlinear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systems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matrix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inequalities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Finsler's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lemma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Authors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: Péter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Polcz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Gábor Szederkényi, Tamás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Péni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this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contribution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consider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locally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asymptotically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stable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nonlinear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autonomous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models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ODE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where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coordinates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right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hand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side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rational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differential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variables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contain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constant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uncertain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parameters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assumed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that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initial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values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uncertain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parameters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belong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known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polytopes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rational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terms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contained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Lyapunov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computed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fractional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representation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(LFR),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required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properties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Lyapunov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given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matrix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inequalities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domain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attraction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(DOA) is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approximated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appropriate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level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sets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computed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Lyapunov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add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further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degrees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freedom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computations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Finsler's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lemma,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which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requires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determination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affine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annihilators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basis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functions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decrease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size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resulting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optimization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problem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without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increasing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level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conservatism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DOA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estimation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propose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simplification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algorithms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LFR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annihilator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operation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method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shown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illustrative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examples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known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from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literature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FD57CE" w:rsidRPr="00F335A3" w:rsidRDefault="00FD57CE" w:rsidP="00FD57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[1] P.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Polcz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T.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Péni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G. Szederkényi.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Improved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algorithm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computing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domain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attraction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rational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nonlinear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systems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European Journal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 xml:space="preserve">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Control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39:53-67, 2018.</w:t>
      </w: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 xml:space="preserve">[2] P.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Polcz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T.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Péni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G. Szederkényi.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Reduced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fractional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representation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nonlinear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systems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stability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analysis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IFAC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Papers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Online, 51:37-42, 2018.</w:t>
      </w:r>
    </w:p>
    <w:p w:rsidR="00FD57CE" w:rsidRPr="00F335A3" w:rsidRDefault="00FD57CE" w:rsidP="00FD5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  Gáspár Vilmos:</w:t>
      </w:r>
    </w:p>
    <w:p w:rsidR="00FD57CE" w:rsidRPr="00F335A3" w:rsidRDefault="00FD57CE" w:rsidP="00FD5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D57CE" w:rsidRPr="00F335A3" w:rsidRDefault="00FD57CE" w:rsidP="00FD5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Beszámoló a 2018. évi "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Oscillation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Dynamic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Instabilities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Chemical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Systems" című Gordon Research Konferenciáról</w:t>
      </w:r>
    </w:p>
    <w:p w:rsidR="002F0FB7" w:rsidRPr="00F335A3" w:rsidRDefault="002F0FB7" w:rsidP="00FD5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7A2AFF" w:rsidRPr="00F335A3" w:rsidRDefault="002F0FB7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Az előadás elején ismertetem az unikális jellegű "Gordon Research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Conferences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" eredettörténetét és az "oszcillációs" sorozat két évtizedes történetét, majd bemutatom és elemzem a konferencia résztvevőinek kapcsolati hálóját (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small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world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). A szekciók áttekintésével megpróbáljuk "kitapogatni" a következő időszak érdekesebb témáit és a témakör fejlődési irányait.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2018. október 2.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Regular</w:t>
      </w:r>
      <w:proofErr w:type="spellEnd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behavior</w:t>
      </w:r>
      <w:proofErr w:type="spellEnd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three</w:t>
      </w:r>
      <w:proofErr w:type="spellEnd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repressilator</w:t>
      </w:r>
      <w:proofErr w:type="spellEnd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models</w:t>
      </w:r>
      <w:proofErr w:type="spellEnd"/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János Tóth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will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talk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about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joint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work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with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Masa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Dukaric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Hassan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Errami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Roman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Jerala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Tina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Lebar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Valery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G.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Romanovsk</w:t>
      </w:r>
      <w:bookmarkStart w:id="0" w:name="_GoBack"/>
      <w:bookmarkEnd w:id="0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Andreas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Weber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about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manuscript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</w:t>
      </w:r>
      <w:hyperlink r:id="rId14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https://arxiv.org/abs/1809.08840</w:t>
        </w:r>
      </w:hyperlink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3D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two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6D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models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ODEs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with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rational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right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hand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sides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)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repressilators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been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introduced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models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single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positive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stationary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point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which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locally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asymptotically</w:t>
      </w:r>
      <w:proofErr w:type="spellEnd"/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stable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This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framework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quite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routine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but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steps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far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from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being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trivial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: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polynomial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varieties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determine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existence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uniqueness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stationary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points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calculations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also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needed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use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Mathematica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Singular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and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QeHopf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existence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of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stationary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points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three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cases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can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also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be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proven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following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way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transforms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right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hand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side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polynomial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without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negative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cross-effect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constructs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reversible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reaction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which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induces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given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right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hand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side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therefore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existence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follows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(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other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words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: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we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apply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result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from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reaction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kinetics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mathematics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.)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2. The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above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lecturer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also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promised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to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present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reviews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on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conferences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Now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these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can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be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found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Hungarian</w:t>
      </w:r>
      <w:proofErr w:type="spellEnd"/>
      <w:r w:rsidRPr="00F335A3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here: 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hyperlink r:id="rId15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http://www.ematlap.hu/index.php/hirek-ujdonsagok-2018-09/773-2018-a-matematikai-biologia-eve</w:t>
        </w:r>
      </w:hyperlink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hyperlink r:id="rId16" w:tgtFrame="_blank" w:history="1">
        <w:r w:rsidRPr="00F335A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hu-HU"/>
          </w:rPr>
          <w:t>http://www.ematlap.hu/index.php/gazda-g-sag-2018-09/774-30-eves-a-wolfram</w:t>
        </w:r>
      </w:hyperlink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F335A3" w:rsidRPr="00F335A3" w:rsidRDefault="00F335A3" w:rsidP="00F33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F335A3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2018. október 9.</w:t>
      </w:r>
    </w:p>
    <w:p w:rsidR="00F335A3" w:rsidRPr="00F335A3" w:rsidRDefault="00F335A3" w:rsidP="00F335A3">
      <w:pPr>
        <w:shd w:val="clear" w:color="auto" w:fill="FFFFFF"/>
        <w:spacing w:after="0" w:line="240" w:lineRule="auto"/>
        <w:rPr>
          <w:b/>
          <w:sz w:val="20"/>
          <w:szCs w:val="20"/>
        </w:rPr>
      </w:pPr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Gáspár Vilmos: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Feedback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Induced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Multirhythmicity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 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Experiments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Models</w:t>
      </w:r>
      <w:proofErr w:type="spellEnd"/>
      <w:r w:rsidRPr="00F335A3">
        <w:rPr>
          <w:rFonts w:ascii="Arial" w:hAnsi="Arial" w:cs="Arial"/>
          <w:color w:val="000000"/>
          <w:sz w:val="20"/>
          <w:szCs w:val="20"/>
        </w:rPr>
        <w:br/>
      </w:r>
      <w:r w:rsidRPr="00F335A3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Occurrence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bi-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trirhythmicity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coexistence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two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three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stable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limit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cycles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respectively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distinctly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different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periods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has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been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experimentally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applying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feedback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control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copper-phosphoric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acid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electrochemical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oscillating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close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Hopf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bifurcation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point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small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times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tau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period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exhibits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sinusoidal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type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dependence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tau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However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relatively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large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each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feedback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gain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exists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critical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τcrit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above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which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birhythmicity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emerges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very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large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delays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dynamics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becomes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even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complex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trirhythmicity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could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observed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Results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numerical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simulations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based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general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kinetic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metal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electrodissolution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were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consistent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with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experimental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observations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The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results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are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also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interpreted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by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using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simple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phase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model</w:t>
      </w:r>
      <w:proofErr w:type="spellEnd"/>
      <w:r w:rsidRPr="00F335A3">
        <w:rPr>
          <w:rFonts w:ascii="Arial" w:hAnsi="Arial" w:cs="Arial"/>
          <w:color w:val="000000"/>
          <w:sz w:val="20"/>
          <w:szCs w:val="20"/>
          <w:shd w:val="clear" w:color="auto" w:fill="FFFFFF"/>
        </w:rPr>
        <w:t>.  </w:t>
      </w:r>
    </w:p>
    <w:sectPr w:rsidR="00F335A3" w:rsidRPr="00F3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4F51"/>
    <w:multiLevelType w:val="hybridMultilevel"/>
    <w:tmpl w:val="0F4E6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CE"/>
    <w:rsid w:val="002F0FB7"/>
    <w:rsid w:val="007A2AFF"/>
    <w:rsid w:val="00F335A3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E2D38-1225-43D8-A1A8-D68B581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F0FB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3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mbs.2012.09.008" TargetMode="External"/><Relationship Id="rId13" Type="http://schemas.openxmlformats.org/officeDocument/2006/relationships/hyperlink" Target="http://www.ecmtb2018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007/s10910-011-9804-9" TargetMode="External"/><Relationship Id="rId12" Type="http://schemas.openxmlformats.org/officeDocument/2006/relationships/hyperlink" Target="https://www.siam.org/Conferences/CM/Main/ls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matlap.hu/index.php/gazda-g-sag-2018-09/774-30-eves-a-wolfram" TargetMode="External"/><Relationship Id="rId1" Type="http://schemas.openxmlformats.org/officeDocument/2006/relationships/numbering" Target="numbering.xml"/><Relationship Id="rId6" Type="http://schemas.openxmlformats.org/officeDocument/2006/relationships/hyperlink" Target="tel:1163-1179" TargetMode="External"/><Relationship Id="rId11" Type="http://schemas.openxmlformats.org/officeDocument/2006/relationships/hyperlink" Target="https://arxiv.org/pdf/1707.02104.pdf" TargetMode="External"/><Relationship Id="rId5" Type="http://schemas.openxmlformats.org/officeDocument/2006/relationships/hyperlink" Target="http://www.math.bme.hu/~jtoth/pubtexts/SzegedInverse.pdf" TargetMode="External"/><Relationship Id="rId15" Type="http://schemas.openxmlformats.org/officeDocument/2006/relationships/hyperlink" Target="http://www.ematlap.hu/index.php/hirek-ujdonsagok-2018-09/773-2018-a-matematikai-biologia-eve" TargetMode="External"/><Relationship Id="rId10" Type="http://schemas.openxmlformats.org/officeDocument/2006/relationships/hyperlink" Target="http://dx.doi.org/10.1016/j.cpc.2016.02.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sysconle.2015.05.001" TargetMode="External"/><Relationship Id="rId14" Type="http://schemas.openxmlformats.org/officeDocument/2006/relationships/hyperlink" Target="https://arxiv.org/abs/1809.0884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1199</Words>
  <Characters>8277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jtoth</dc:creator>
  <cp:keywords/>
  <dc:description/>
  <cp:lastModifiedBy>jtoth</cp:lastModifiedBy>
  <cp:revision>2</cp:revision>
  <dcterms:created xsi:type="dcterms:W3CDTF">2018-10-12T08:56:00Z</dcterms:created>
  <dcterms:modified xsi:type="dcterms:W3CDTF">2018-10-12T09:57:00Z</dcterms:modified>
</cp:coreProperties>
</file>